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66471" w14:textId="77777777" w:rsidR="00EC01FF" w:rsidRDefault="00EC01FF" w:rsidP="00DB5986">
      <w:pPr>
        <w:spacing w:line="480" w:lineRule="auto"/>
        <w:rPr>
          <w:rFonts w:ascii="Times New Roman" w:hAnsi="Times New Roman" w:cs="Times New Roman"/>
          <w:sz w:val="24"/>
          <w:szCs w:val="24"/>
        </w:rPr>
      </w:pPr>
    </w:p>
    <w:p w14:paraId="2A8389C2" w14:textId="77777777" w:rsidR="00EC01FF" w:rsidRDefault="00EC01FF" w:rsidP="00DB5986">
      <w:pPr>
        <w:spacing w:line="480" w:lineRule="auto"/>
        <w:jc w:val="center"/>
        <w:rPr>
          <w:rFonts w:ascii="Times New Roman" w:hAnsi="Times New Roman" w:cs="Times New Roman"/>
          <w:sz w:val="24"/>
          <w:szCs w:val="24"/>
        </w:rPr>
      </w:pPr>
    </w:p>
    <w:p w14:paraId="66E9C08B" w14:textId="77777777" w:rsidR="00EC01FF" w:rsidRDefault="00EC01FF" w:rsidP="00DB5986">
      <w:pPr>
        <w:spacing w:line="480" w:lineRule="auto"/>
        <w:jc w:val="center"/>
        <w:rPr>
          <w:rFonts w:ascii="Times New Roman" w:hAnsi="Times New Roman" w:cs="Times New Roman"/>
          <w:sz w:val="24"/>
          <w:szCs w:val="24"/>
        </w:rPr>
      </w:pPr>
    </w:p>
    <w:p w14:paraId="03DAD322" w14:textId="77777777" w:rsidR="00EC01FF" w:rsidRDefault="00EC01FF" w:rsidP="00F06FCF">
      <w:pPr>
        <w:spacing w:line="480" w:lineRule="auto"/>
        <w:rPr>
          <w:rFonts w:ascii="Times New Roman" w:hAnsi="Times New Roman" w:cs="Times New Roman"/>
          <w:sz w:val="24"/>
          <w:szCs w:val="24"/>
        </w:rPr>
      </w:pPr>
    </w:p>
    <w:p w14:paraId="77523E69" w14:textId="0E0C2B03" w:rsidR="00EC01FF" w:rsidRDefault="007474A9" w:rsidP="00DB5986">
      <w:pPr>
        <w:spacing w:line="480" w:lineRule="auto"/>
        <w:jc w:val="center"/>
        <w:rPr>
          <w:rFonts w:ascii="Times New Roman" w:hAnsi="Times New Roman" w:cs="Times New Roman"/>
          <w:sz w:val="24"/>
          <w:szCs w:val="24"/>
        </w:rPr>
      </w:pPr>
      <w:r w:rsidRPr="00EC01FF">
        <w:rPr>
          <w:rFonts w:ascii="Times New Roman" w:hAnsi="Times New Roman" w:cs="Times New Roman"/>
          <w:sz w:val="24"/>
          <w:szCs w:val="24"/>
        </w:rPr>
        <w:t>Sentencing Guidelines</w:t>
      </w:r>
    </w:p>
    <w:p w14:paraId="1D6D33FE" w14:textId="244C408B" w:rsidR="00EC01FF" w:rsidRDefault="007474A9" w:rsidP="00DB59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C54CB7F" w14:textId="2519EA57" w:rsidR="00EC01FF" w:rsidRDefault="007474A9" w:rsidP="00DB59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6E3FD7A8" w14:textId="23CAD39D" w:rsidR="00EC01FF" w:rsidRDefault="007474A9" w:rsidP="00DB59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62A8780B" w14:textId="77777777" w:rsidR="00EC01FF" w:rsidRDefault="00EC01FF" w:rsidP="00DB5986">
      <w:pPr>
        <w:spacing w:line="480" w:lineRule="auto"/>
        <w:rPr>
          <w:rFonts w:ascii="Times New Roman" w:hAnsi="Times New Roman" w:cs="Times New Roman"/>
          <w:sz w:val="24"/>
          <w:szCs w:val="24"/>
        </w:rPr>
      </w:pPr>
    </w:p>
    <w:p w14:paraId="79482EF3" w14:textId="77777777" w:rsidR="00EC01FF" w:rsidRDefault="00EC01FF" w:rsidP="00DB5986">
      <w:pPr>
        <w:spacing w:line="480" w:lineRule="auto"/>
        <w:rPr>
          <w:rFonts w:ascii="Times New Roman" w:hAnsi="Times New Roman" w:cs="Times New Roman"/>
          <w:sz w:val="24"/>
          <w:szCs w:val="24"/>
        </w:rPr>
      </w:pPr>
    </w:p>
    <w:p w14:paraId="24F2BD25" w14:textId="77777777" w:rsidR="00EC01FF" w:rsidRDefault="00EC01FF" w:rsidP="00DB5986">
      <w:pPr>
        <w:spacing w:line="480" w:lineRule="auto"/>
        <w:rPr>
          <w:rFonts w:ascii="Times New Roman" w:hAnsi="Times New Roman" w:cs="Times New Roman"/>
          <w:sz w:val="24"/>
          <w:szCs w:val="24"/>
        </w:rPr>
      </w:pPr>
    </w:p>
    <w:p w14:paraId="613DD2E1" w14:textId="77777777" w:rsidR="00EC01FF" w:rsidRDefault="00EC01FF" w:rsidP="00DB5986">
      <w:pPr>
        <w:spacing w:line="480" w:lineRule="auto"/>
        <w:rPr>
          <w:rFonts w:ascii="Times New Roman" w:hAnsi="Times New Roman" w:cs="Times New Roman"/>
          <w:sz w:val="24"/>
          <w:szCs w:val="24"/>
        </w:rPr>
      </w:pPr>
    </w:p>
    <w:p w14:paraId="74669776" w14:textId="77777777" w:rsidR="00EC01FF" w:rsidRDefault="00EC01FF" w:rsidP="00DB5986">
      <w:pPr>
        <w:spacing w:line="480" w:lineRule="auto"/>
        <w:rPr>
          <w:rFonts w:ascii="Times New Roman" w:hAnsi="Times New Roman" w:cs="Times New Roman"/>
          <w:sz w:val="24"/>
          <w:szCs w:val="24"/>
        </w:rPr>
      </w:pPr>
    </w:p>
    <w:p w14:paraId="161F136F" w14:textId="77777777" w:rsidR="00DB5986" w:rsidRDefault="007474A9" w:rsidP="00DB598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6B985DE" w14:textId="5FBAA37E" w:rsidR="00EC01FF" w:rsidRDefault="007474A9" w:rsidP="00DB5986">
      <w:pPr>
        <w:spacing w:line="480" w:lineRule="auto"/>
        <w:jc w:val="center"/>
        <w:rPr>
          <w:rFonts w:ascii="Times New Roman" w:hAnsi="Times New Roman" w:cs="Times New Roman"/>
          <w:sz w:val="24"/>
          <w:szCs w:val="24"/>
        </w:rPr>
      </w:pPr>
      <w:r w:rsidRPr="00EC01FF">
        <w:rPr>
          <w:rFonts w:ascii="Times New Roman" w:hAnsi="Times New Roman" w:cs="Times New Roman"/>
          <w:sz w:val="24"/>
          <w:szCs w:val="24"/>
        </w:rPr>
        <w:lastRenderedPageBreak/>
        <w:t>Sentencing Guidelines</w:t>
      </w:r>
    </w:p>
    <w:p w14:paraId="525EBBD6" w14:textId="5DCEEF27" w:rsidR="00EC01FF" w:rsidRPr="00EC01FF" w:rsidRDefault="007474A9" w:rsidP="00DB5986">
      <w:pPr>
        <w:spacing w:line="480" w:lineRule="auto"/>
        <w:ind w:firstLine="720"/>
        <w:rPr>
          <w:rFonts w:ascii="Times New Roman" w:hAnsi="Times New Roman" w:cs="Times New Roman"/>
          <w:sz w:val="24"/>
          <w:szCs w:val="24"/>
        </w:rPr>
      </w:pPr>
      <w:r w:rsidRPr="00EC01FF">
        <w:rPr>
          <w:rFonts w:ascii="Times New Roman" w:hAnsi="Times New Roman" w:cs="Times New Roman"/>
          <w:sz w:val="24"/>
          <w:szCs w:val="24"/>
        </w:rPr>
        <w:t xml:space="preserve">Sentencing is among the hardest and often the primary function of a court of law on the criminal section of its docket. In many of the cases, the suspect </w:t>
      </w:r>
      <w:r w:rsidRPr="00EC01FF">
        <w:rPr>
          <w:rFonts w:ascii="Times New Roman" w:hAnsi="Times New Roman" w:cs="Times New Roman"/>
          <w:sz w:val="24"/>
          <w:szCs w:val="24"/>
        </w:rPr>
        <w:t>declares guilty, and the only challenge is determining his treatment. Treatment disposition is a critical factor for both the defendant and the society in general. A short sentence, fine or badly-advised probation may imply that the society and individuals</w:t>
      </w:r>
      <w:r w:rsidRPr="00EC01FF">
        <w:rPr>
          <w:rFonts w:ascii="Times New Roman" w:hAnsi="Times New Roman" w:cs="Times New Roman"/>
          <w:sz w:val="24"/>
          <w:szCs w:val="24"/>
        </w:rPr>
        <w:t xml:space="preserve"> are not protected from the courtrooms. If an adverse penalty is imposed on the deterioration, the bitterness which usually happens as a result of lengthy incarceration may irreparably destroy an offender that would have rather reformed. The paper shares p</w:t>
      </w:r>
      <w:r w:rsidRPr="00EC01FF">
        <w:rPr>
          <w:rFonts w:ascii="Times New Roman" w:hAnsi="Times New Roman" w:cs="Times New Roman"/>
          <w:sz w:val="24"/>
          <w:szCs w:val="24"/>
        </w:rPr>
        <w:t>ersonal thoughts about sentencing guidelines.</w:t>
      </w:r>
    </w:p>
    <w:p w14:paraId="1758E67F" w14:textId="401ABE71" w:rsidR="00EC01FF" w:rsidRPr="00EC01FF" w:rsidRDefault="006631AB" w:rsidP="009F4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view</w:t>
      </w:r>
      <w:r w:rsidR="007474A9" w:rsidRPr="00EC01FF">
        <w:rPr>
          <w:rFonts w:ascii="Times New Roman" w:hAnsi="Times New Roman" w:cs="Times New Roman"/>
          <w:sz w:val="24"/>
          <w:szCs w:val="24"/>
        </w:rPr>
        <w:t>, the current sentencing guidelines have allowed probation officers to observe the rights of</w:t>
      </w:r>
      <w:r w:rsidR="00AC6ECF">
        <w:rPr>
          <w:rFonts w:ascii="Times New Roman" w:hAnsi="Times New Roman" w:cs="Times New Roman"/>
          <w:sz w:val="24"/>
          <w:szCs w:val="24"/>
        </w:rPr>
        <w:t xml:space="preserve"> the victims of crime. In regard</w:t>
      </w:r>
      <w:r w:rsidR="007474A9" w:rsidRPr="00EC01FF">
        <w:rPr>
          <w:rFonts w:ascii="Times New Roman" w:hAnsi="Times New Roman" w:cs="Times New Roman"/>
          <w:sz w:val="24"/>
          <w:szCs w:val="24"/>
        </w:rPr>
        <w:t xml:space="preserve"> to Chapter six of sentencing proceedings, an exhaustive presente</w:t>
      </w:r>
      <w:r w:rsidR="007474A9" w:rsidRPr="00EC01FF">
        <w:rPr>
          <w:rFonts w:ascii="Times New Roman" w:hAnsi="Times New Roman" w:cs="Times New Roman"/>
          <w:sz w:val="24"/>
          <w:szCs w:val="24"/>
        </w:rPr>
        <w:t xml:space="preserve">nce interrogation </w:t>
      </w:r>
      <w:r w:rsidR="007474A9">
        <w:rPr>
          <w:rFonts w:ascii="Times New Roman" w:hAnsi="Times New Roman" w:cs="Times New Roman"/>
          <w:sz w:val="24"/>
          <w:szCs w:val="24"/>
        </w:rPr>
        <w:t>is</w:t>
      </w:r>
      <w:r w:rsidR="007474A9" w:rsidRPr="00EC01FF">
        <w:rPr>
          <w:rFonts w:ascii="Times New Roman" w:hAnsi="Times New Roman" w:cs="Times New Roman"/>
          <w:sz w:val="24"/>
          <w:szCs w:val="24"/>
        </w:rPr>
        <w:t xml:space="preserve"> critically important in assessing the factors that are accurate for sentencing. </w:t>
      </w:r>
      <w:r w:rsidR="00AC6ECF">
        <w:rPr>
          <w:rFonts w:ascii="Times New Roman" w:hAnsi="Times New Roman" w:cs="Times New Roman"/>
          <w:sz w:val="24"/>
          <w:szCs w:val="24"/>
        </w:rPr>
        <w:t>Specifically, r</w:t>
      </w:r>
      <w:r w:rsidR="007474A9" w:rsidRPr="00EC01FF">
        <w:rPr>
          <w:rFonts w:ascii="Times New Roman" w:hAnsi="Times New Roman" w:cs="Times New Roman"/>
          <w:sz w:val="24"/>
          <w:szCs w:val="24"/>
        </w:rPr>
        <w:t>ule 32(c)(1)(A) a</w:t>
      </w:r>
      <w:r w:rsidR="00AC6ECF">
        <w:rPr>
          <w:rFonts w:ascii="Times New Roman" w:hAnsi="Times New Roman" w:cs="Times New Roman"/>
          <w:sz w:val="24"/>
          <w:szCs w:val="24"/>
        </w:rPr>
        <w:t>llows the grand jury to issue</w:t>
      </w:r>
      <w:r w:rsidR="007474A9" w:rsidRPr="00EC01FF">
        <w:rPr>
          <w:rFonts w:ascii="Times New Roman" w:hAnsi="Times New Roman" w:cs="Times New Roman"/>
          <w:sz w:val="24"/>
          <w:szCs w:val="24"/>
        </w:rPr>
        <w:t xml:space="preserve"> a presentence report </w:t>
      </w:r>
      <w:bookmarkStart w:id="0" w:name="_GoBack"/>
      <w:bookmarkEnd w:id="0"/>
      <w:r w:rsidR="007474A9" w:rsidRPr="00EC01FF">
        <w:rPr>
          <w:rFonts w:ascii="Times New Roman" w:hAnsi="Times New Roman" w:cs="Times New Roman"/>
          <w:sz w:val="24"/>
          <w:szCs w:val="24"/>
        </w:rPr>
        <w:t xml:space="preserve">in circumstances that are limited to specific statutes need or when the </w:t>
      </w:r>
      <w:r w:rsidR="007474A9" w:rsidRPr="00EC01FF">
        <w:rPr>
          <w:rFonts w:ascii="Times New Roman" w:hAnsi="Times New Roman" w:cs="Times New Roman"/>
          <w:sz w:val="24"/>
          <w:szCs w:val="24"/>
        </w:rPr>
        <w:t xml:space="preserve">court has substantial information in its records to permit </w:t>
      </w:r>
      <w:r w:rsidR="00DF2E8C">
        <w:rPr>
          <w:rFonts w:ascii="Times New Roman" w:hAnsi="Times New Roman" w:cs="Times New Roman"/>
          <w:sz w:val="24"/>
          <w:szCs w:val="24"/>
        </w:rPr>
        <w:t>it to</w:t>
      </w:r>
      <w:r w:rsidR="007474A9" w:rsidRPr="00EC01FF">
        <w:rPr>
          <w:rFonts w:ascii="Times New Roman" w:hAnsi="Times New Roman" w:cs="Times New Roman"/>
          <w:sz w:val="24"/>
          <w:szCs w:val="24"/>
        </w:rPr>
        <w:t xml:space="preserve"> practice its statutory sentencing powers purposefully and vividly elaborates its finding on the record</w:t>
      </w:r>
      <w:r w:rsidR="009F47B3">
        <w:rPr>
          <w:rFonts w:ascii="Times New Roman" w:hAnsi="Times New Roman" w:cs="Times New Roman"/>
          <w:sz w:val="24"/>
          <w:szCs w:val="24"/>
        </w:rPr>
        <w:t xml:space="preserve"> (</w:t>
      </w:r>
      <w:r w:rsidR="009F47B3" w:rsidRPr="009F47B3">
        <w:rPr>
          <w:rFonts w:ascii="Times New Roman" w:hAnsi="Times New Roman" w:cs="Times New Roman"/>
          <w:sz w:val="24"/>
          <w:szCs w:val="24"/>
        </w:rPr>
        <w:t>Guidelines Manual</w:t>
      </w:r>
      <w:r w:rsidR="00EF6B6F">
        <w:rPr>
          <w:rFonts w:ascii="Times New Roman" w:hAnsi="Times New Roman" w:cs="Times New Roman"/>
          <w:sz w:val="24"/>
          <w:szCs w:val="24"/>
        </w:rPr>
        <w:t xml:space="preserve">, </w:t>
      </w:r>
      <w:r w:rsidR="009F47B3" w:rsidRPr="009F47B3">
        <w:rPr>
          <w:rFonts w:ascii="Times New Roman" w:hAnsi="Times New Roman" w:cs="Times New Roman"/>
          <w:sz w:val="24"/>
          <w:szCs w:val="24"/>
        </w:rPr>
        <w:t>2018</w:t>
      </w:r>
      <w:r w:rsidR="009F47B3">
        <w:rPr>
          <w:rFonts w:ascii="Times New Roman" w:hAnsi="Times New Roman" w:cs="Times New Roman"/>
          <w:sz w:val="24"/>
          <w:szCs w:val="24"/>
        </w:rPr>
        <w:t>)</w:t>
      </w:r>
      <w:r w:rsidR="007474A9" w:rsidRPr="00EC01FF">
        <w:rPr>
          <w:rFonts w:ascii="Times New Roman" w:hAnsi="Times New Roman" w:cs="Times New Roman"/>
          <w:sz w:val="24"/>
          <w:szCs w:val="24"/>
        </w:rPr>
        <w:t xml:space="preserve">. This means that if sentencing should be individualized, then </w:t>
      </w:r>
      <w:r w:rsidR="007474A9" w:rsidRPr="00EC01FF">
        <w:rPr>
          <w:rFonts w:ascii="Times New Roman" w:hAnsi="Times New Roman" w:cs="Times New Roman"/>
          <w:sz w:val="24"/>
          <w:szCs w:val="24"/>
        </w:rPr>
        <w:t>the ruling of the court, in any case, needs forecasting with respect to various factors, many of which should not be associated with the immediate felony. I also think that based on the rulings of the sentencing procedures, the probability of recidivism mu</w:t>
      </w:r>
      <w:r w:rsidR="007474A9" w:rsidRPr="00EC01FF">
        <w:rPr>
          <w:rFonts w:ascii="Times New Roman" w:hAnsi="Times New Roman" w:cs="Times New Roman"/>
          <w:sz w:val="24"/>
          <w:szCs w:val="24"/>
        </w:rPr>
        <w:t>st be examined against the likelihood of personality</w:t>
      </w:r>
      <w:r w:rsidR="00DF2E8C">
        <w:rPr>
          <w:rFonts w:ascii="Times New Roman" w:hAnsi="Times New Roman" w:cs="Times New Roman"/>
          <w:sz w:val="24"/>
          <w:szCs w:val="24"/>
        </w:rPr>
        <w:t>,</w:t>
      </w:r>
      <w:r w:rsidR="007474A9" w:rsidRPr="00EC01FF">
        <w:rPr>
          <w:rFonts w:ascii="Times New Roman" w:hAnsi="Times New Roman" w:cs="Times New Roman"/>
          <w:sz w:val="24"/>
          <w:szCs w:val="24"/>
        </w:rPr>
        <w:t xml:space="preserve"> differentiating imprisonment and the social misappropriation of maintaining a man at the expense of the public</w:t>
      </w:r>
      <w:r w:rsidR="00DF2E8C">
        <w:rPr>
          <w:rFonts w:ascii="Times New Roman" w:hAnsi="Times New Roman" w:cs="Times New Roman"/>
          <w:sz w:val="24"/>
          <w:szCs w:val="24"/>
        </w:rPr>
        <w:t>,</w:t>
      </w:r>
      <w:r w:rsidR="007474A9" w:rsidRPr="00EC01FF">
        <w:rPr>
          <w:rFonts w:ascii="Times New Roman" w:hAnsi="Times New Roman" w:cs="Times New Roman"/>
          <w:sz w:val="24"/>
          <w:szCs w:val="24"/>
        </w:rPr>
        <w:t xml:space="preserve"> an individual who might end up being self-supporting and positively contributes to economi</w:t>
      </w:r>
      <w:r w:rsidR="007474A9" w:rsidRPr="00EC01FF">
        <w:rPr>
          <w:rFonts w:ascii="Times New Roman" w:hAnsi="Times New Roman" w:cs="Times New Roman"/>
          <w:sz w:val="24"/>
          <w:szCs w:val="24"/>
        </w:rPr>
        <w:t>c growth.</w:t>
      </w:r>
    </w:p>
    <w:p w14:paraId="488F633D" w14:textId="7FE9B091" w:rsidR="00EC01FF" w:rsidRPr="00EC01FF" w:rsidRDefault="007474A9" w:rsidP="00DB5986">
      <w:pPr>
        <w:spacing w:line="480" w:lineRule="auto"/>
        <w:ind w:firstLine="720"/>
        <w:rPr>
          <w:rFonts w:ascii="Times New Roman" w:hAnsi="Times New Roman" w:cs="Times New Roman"/>
          <w:sz w:val="24"/>
          <w:szCs w:val="24"/>
        </w:rPr>
      </w:pPr>
      <w:r w:rsidRPr="00EC01FF">
        <w:rPr>
          <w:rFonts w:ascii="Times New Roman" w:hAnsi="Times New Roman" w:cs="Times New Roman"/>
          <w:sz w:val="24"/>
          <w:szCs w:val="24"/>
        </w:rPr>
        <w:lastRenderedPageBreak/>
        <w:t>However, equality of treatment has been referred to as a universal factor principle that is nearly related to criminal sentences. Following such reasoning, the sentencing procedure maintains that the court needs to heed to a plea agreement or a r</w:t>
      </w:r>
      <w:r w:rsidRPr="00EC01FF">
        <w:rPr>
          <w:rFonts w:ascii="Times New Roman" w:hAnsi="Times New Roman" w:cs="Times New Roman"/>
          <w:sz w:val="24"/>
          <w:szCs w:val="24"/>
        </w:rPr>
        <w:t>ecommended sentence that needs a disposition of a certain sentence on the condition that the court is contented either that a sentence of such a kind is a precise sentence within the range of applicable gui</w:t>
      </w:r>
      <w:r w:rsidR="00AC6ECF">
        <w:rPr>
          <w:rFonts w:ascii="Times New Roman" w:hAnsi="Times New Roman" w:cs="Times New Roman"/>
          <w:sz w:val="24"/>
          <w:szCs w:val="24"/>
        </w:rPr>
        <w:t>delines. In the event that a</w:t>
      </w:r>
      <w:r w:rsidRPr="00EC01FF">
        <w:rPr>
          <w:rFonts w:ascii="Times New Roman" w:hAnsi="Times New Roman" w:cs="Times New Roman"/>
          <w:sz w:val="24"/>
          <w:szCs w:val="24"/>
        </w:rPr>
        <w:t xml:space="preserve"> sentence is </w:t>
      </w:r>
      <w:r w:rsidR="00AC6ECF">
        <w:rPr>
          <w:rFonts w:ascii="Times New Roman" w:hAnsi="Times New Roman" w:cs="Times New Roman"/>
          <w:sz w:val="24"/>
          <w:szCs w:val="24"/>
        </w:rPr>
        <w:t xml:space="preserve">not within </w:t>
      </w:r>
      <w:r w:rsidRPr="00EC01FF">
        <w:rPr>
          <w:rFonts w:ascii="Times New Roman" w:hAnsi="Times New Roman" w:cs="Times New Roman"/>
          <w:sz w:val="24"/>
          <w:szCs w:val="24"/>
        </w:rPr>
        <w:t xml:space="preserve">the framework that is applicable for </w:t>
      </w:r>
      <w:r w:rsidR="00AC6ECF">
        <w:rPr>
          <w:rFonts w:ascii="Times New Roman" w:hAnsi="Times New Roman" w:cs="Times New Roman"/>
          <w:sz w:val="24"/>
          <w:szCs w:val="24"/>
        </w:rPr>
        <w:t xml:space="preserve">obvious </w:t>
      </w:r>
      <w:r w:rsidRPr="00EC01FF">
        <w:rPr>
          <w:rFonts w:ascii="Times New Roman" w:hAnsi="Times New Roman" w:cs="Times New Roman"/>
          <w:sz w:val="24"/>
          <w:szCs w:val="24"/>
        </w:rPr>
        <w:t xml:space="preserve">reasons that can be justified, and those reasons </w:t>
      </w:r>
      <w:r w:rsidR="00DF2E8C">
        <w:rPr>
          <w:rFonts w:ascii="Times New Roman" w:hAnsi="Times New Roman" w:cs="Times New Roman"/>
          <w:sz w:val="24"/>
          <w:szCs w:val="24"/>
        </w:rPr>
        <w:t xml:space="preserve">can </w:t>
      </w:r>
      <w:r w:rsidRPr="00EC01FF">
        <w:rPr>
          <w:rFonts w:ascii="Times New Roman" w:hAnsi="Times New Roman" w:cs="Times New Roman"/>
          <w:sz w:val="24"/>
          <w:szCs w:val="24"/>
        </w:rPr>
        <w:t>be described in specificity statement of reasons abstract</w:t>
      </w:r>
      <w:r w:rsidR="009F47B3">
        <w:rPr>
          <w:rFonts w:ascii="Times New Roman" w:hAnsi="Times New Roman" w:cs="Times New Roman"/>
          <w:sz w:val="24"/>
          <w:szCs w:val="24"/>
        </w:rPr>
        <w:t xml:space="preserve"> </w:t>
      </w:r>
      <w:r w:rsidR="00EF6B6F">
        <w:rPr>
          <w:rFonts w:ascii="Times New Roman" w:hAnsi="Times New Roman" w:cs="Times New Roman"/>
          <w:sz w:val="24"/>
          <w:szCs w:val="24"/>
        </w:rPr>
        <w:t xml:space="preserve">(Guidelines Manual, </w:t>
      </w:r>
      <w:r w:rsidR="009F47B3" w:rsidRPr="009F47B3">
        <w:rPr>
          <w:rFonts w:ascii="Times New Roman" w:hAnsi="Times New Roman" w:cs="Times New Roman"/>
          <w:sz w:val="24"/>
          <w:szCs w:val="24"/>
        </w:rPr>
        <w:t>2018)</w:t>
      </w:r>
      <w:r w:rsidRPr="00EC01FF">
        <w:rPr>
          <w:rFonts w:ascii="Times New Roman" w:hAnsi="Times New Roman" w:cs="Times New Roman"/>
          <w:sz w:val="24"/>
          <w:szCs w:val="24"/>
        </w:rPr>
        <w:t xml:space="preserve">. However, this does not imply that the court can rule below the </w:t>
      </w:r>
      <w:r w:rsidRPr="00EC01FF">
        <w:rPr>
          <w:rFonts w:ascii="Times New Roman" w:hAnsi="Times New Roman" w:cs="Times New Roman"/>
          <w:sz w:val="24"/>
          <w:szCs w:val="24"/>
        </w:rPr>
        <w:t>guidelines that are applicable and lie outside the range simply because of the decision of the defendant plead</w:t>
      </w:r>
      <w:r w:rsidR="00AC6ECF">
        <w:rPr>
          <w:rFonts w:ascii="Times New Roman" w:hAnsi="Times New Roman" w:cs="Times New Roman"/>
          <w:sz w:val="24"/>
          <w:szCs w:val="24"/>
        </w:rPr>
        <w:t>ing</w:t>
      </w:r>
      <w:r w:rsidRPr="00EC01FF">
        <w:rPr>
          <w:rFonts w:ascii="Times New Roman" w:hAnsi="Times New Roman" w:cs="Times New Roman"/>
          <w:sz w:val="24"/>
          <w:szCs w:val="24"/>
        </w:rPr>
        <w:t xml:space="preserve"> guilty to the felony or to accept plea agreement regarding the offense. </w:t>
      </w:r>
    </w:p>
    <w:p w14:paraId="66E2B8C0" w14:textId="53962DF5" w:rsidR="00EC01FF" w:rsidRPr="00EC01FF" w:rsidRDefault="007474A9" w:rsidP="00DB5986">
      <w:pPr>
        <w:spacing w:line="480" w:lineRule="auto"/>
        <w:ind w:firstLine="720"/>
        <w:rPr>
          <w:rFonts w:ascii="Times New Roman" w:hAnsi="Times New Roman" w:cs="Times New Roman"/>
          <w:sz w:val="24"/>
          <w:szCs w:val="24"/>
        </w:rPr>
      </w:pPr>
      <w:r w:rsidRPr="00EC01FF">
        <w:rPr>
          <w:rFonts w:ascii="Times New Roman" w:hAnsi="Times New Roman" w:cs="Times New Roman"/>
          <w:sz w:val="24"/>
          <w:szCs w:val="24"/>
        </w:rPr>
        <w:t>The policy system is logical according to the outlined rules and regu</w:t>
      </w:r>
      <w:r w:rsidRPr="00EC01FF">
        <w:rPr>
          <w:rFonts w:ascii="Times New Roman" w:hAnsi="Times New Roman" w:cs="Times New Roman"/>
          <w:sz w:val="24"/>
          <w:szCs w:val="24"/>
        </w:rPr>
        <w:t>lations serving in the interest of defendants. The sentencing p</w:t>
      </w:r>
      <w:r w:rsidR="00AC6ECF">
        <w:rPr>
          <w:rFonts w:ascii="Times New Roman" w:hAnsi="Times New Roman" w:cs="Times New Roman"/>
          <w:sz w:val="24"/>
          <w:szCs w:val="24"/>
        </w:rPr>
        <w:t>rocedure posits that in any scenario</w:t>
      </w:r>
      <w:r w:rsidRPr="00EC01FF">
        <w:rPr>
          <w:rFonts w:ascii="Times New Roman" w:hAnsi="Times New Roman" w:cs="Times New Roman"/>
          <w:sz w:val="24"/>
          <w:szCs w:val="24"/>
        </w:rPr>
        <w:t xml:space="preserve"> about sentencing o</w:t>
      </w:r>
      <w:r w:rsidR="00AC6ECF">
        <w:rPr>
          <w:rFonts w:ascii="Times New Roman" w:hAnsi="Times New Roman" w:cs="Times New Roman"/>
          <w:sz w:val="24"/>
          <w:szCs w:val="24"/>
        </w:rPr>
        <w:t>f a suspect for a felony to a crime victim, a</w:t>
      </w:r>
      <w:r w:rsidRPr="00EC01FF">
        <w:rPr>
          <w:rFonts w:ascii="Times New Roman" w:hAnsi="Times New Roman" w:cs="Times New Roman"/>
          <w:sz w:val="24"/>
          <w:szCs w:val="24"/>
        </w:rPr>
        <w:t xml:space="preserve"> court should ascertain that rights of a crime victim are fully exercised as described in the</w:t>
      </w:r>
      <w:r w:rsidRPr="00EC01FF">
        <w:rPr>
          <w:rFonts w:ascii="Times New Roman" w:hAnsi="Times New Roman" w:cs="Times New Roman"/>
          <w:sz w:val="24"/>
          <w:szCs w:val="24"/>
        </w:rPr>
        <w:t xml:space="preserve"> amendments dictating the bill of rights</w:t>
      </w:r>
      <w:r w:rsidR="009F47B3">
        <w:rPr>
          <w:rFonts w:ascii="Times New Roman" w:hAnsi="Times New Roman" w:cs="Times New Roman"/>
          <w:sz w:val="24"/>
          <w:szCs w:val="24"/>
        </w:rPr>
        <w:t xml:space="preserve"> </w:t>
      </w:r>
      <w:r w:rsidR="00EF6B6F">
        <w:rPr>
          <w:rFonts w:ascii="Times New Roman" w:hAnsi="Times New Roman" w:cs="Times New Roman"/>
          <w:sz w:val="24"/>
          <w:szCs w:val="24"/>
        </w:rPr>
        <w:t xml:space="preserve">(Guidelines Manual, </w:t>
      </w:r>
      <w:r w:rsidR="009F47B3" w:rsidRPr="009F47B3">
        <w:rPr>
          <w:rFonts w:ascii="Times New Roman" w:hAnsi="Times New Roman" w:cs="Times New Roman"/>
          <w:sz w:val="24"/>
          <w:szCs w:val="24"/>
        </w:rPr>
        <w:t>2018)</w:t>
      </w:r>
      <w:r w:rsidRPr="00EC01FF">
        <w:rPr>
          <w:rFonts w:ascii="Times New Roman" w:hAnsi="Times New Roman" w:cs="Times New Roman"/>
          <w:sz w:val="24"/>
          <w:szCs w:val="24"/>
        </w:rPr>
        <w:t xml:space="preserve">. Additionally, in any other provisions of sentencing according to the federal </w:t>
      </w:r>
      <w:r w:rsidR="00DF2E8C">
        <w:rPr>
          <w:rFonts w:ascii="Times New Roman" w:hAnsi="Times New Roman" w:cs="Times New Roman"/>
          <w:sz w:val="24"/>
          <w:szCs w:val="24"/>
        </w:rPr>
        <w:t xml:space="preserve">law </w:t>
      </w:r>
      <w:r w:rsidRPr="00EC01FF">
        <w:rPr>
          <w:rFonts w:ascii="Times New Roman" w:hAnsi="Times New Roman" w:cs="Times New Roman"/>
          <w:sz w:val="24"/>
          <w:szCs w:val="24"/>
        </w:rPr>
        <w:t>regarding the treatment of crime suspects</w:t>
      </w:r>
      <w:r w:rsidR="00DF2E8C">
        <w:rPr>
          <w:rFonts w:ascii="Times New Roman" w:hAnsi="Times New Roman" w:cs="Times New Roman"/>
          <w:sz w:val="24"/>
          <w:szCs w:val="24"/>
        </w:rPr>
        <w:t>, the rights of crime victims are the first priority in sentencing guidelines</w:t>
      </w:r>
      <w:r w:rsidRPr="00EC01FF">
        <w:rPr>
          <w:rFonts w:ascii="Times New Roman" w:hAnsi="Times New Roman" w:cs="Times New Roman"/>
          <w:sz w:val="24"/>
          <w:szCs w:val="24"/>
        </w:rPr>
        <w:t xml:space="preserve">. Another logic in the policy is </w:t>
      </w:r>
      <w:r w:rsidR="00DF2E8C">
        <w:rPr>
          <w:rFonts w:ascii="Times New Roman" w:hAnsi="Times New Roman" w:cs="Times New Roman"/>
          <w:sz w:val="24"/>
          <w:szCs w:val="24"/>
        </w:rPr>
        <w:t>seen</w:t>
      </w:r>
      <w:r w:rsidRPr="00EC01FF">
        <w:rPr>
          <w:rFonts w:ascii="Times New Roman" w:hAnsi="Times New Roman" w:cs="Times New Roman"/>
          <w:sz w:val="24"/>
          <w:szCs w:val="24"/>
        </w:rPr>
        <w:t xml:space="preserve"> in the statutory authority to drop execution or imp</w:t>
      </w:r>
      <w:r w:rsidR="00AC6ECF">
        <w:rPr>
          <w:rFonts w:ascii="Times New Roman" w:hAnsi="Times New Roman" w:cs="Times New Roman"/>
          <w:sz w:val="24"/>
          <w:szCs w:val="24"/>
        </w:rPr>
        <w:t>osition of the sentence so as in imposing</w:t>
      </w:r>
      <w:r w:rsidRPr="00EC01FF">
        <w:rPr>
          <w:rFonts w:ascii="Times New Roman" w:hAnsi="Times New Roman" w:cs="Times New Roman"/>
          <w:sz w:val="24"/>
          <w:szCs w:val="24"/>
        </w:rPr>
        <w:t xml:space="preserve"> a probation term that was scrapped after</w:t>
      </w:r>
      <w:r w:rsidR="00AC6ECF">
        <w:rPr>
          <w:rFonts w:ascii="Times New Roman" w:hAnsi="Times New Roman" w:cs="Times New Roman"/>
          <w:sz w:val="24"/>
          <w:szCs w:val="24"/>
        </w:rPr>
        <w:t xml:space="preserve"> implementing</w:t>
      </w:r>
      <w:r w:rsidRPr="00EC01FF">
        <w:rPr>
          <w:rFonts w:ascii="Times New Roman" w:hAnsi="Times New Roman" w:cs="Times New Roman"/>
          <w:sz w:val="24"/>
          <w:szCs w:val="24"/>
        </w:rPr>
        <w:t xml:space="preserve"> sentencing guidelines. For specific revocations, violations </w:t>
      </w:r>
      <w:r w:rsidRPr="00EC01FF">
        <w:rPr>
          <w:rFonts w:ascii="Times New Roman" w:hAnsi="Times New Roman" w:cs="Times New Roman"/>
          <w:sz w:val="24"/>
          <w:szCs w:val="24"/>
        </w:rPr>
        <w:t>are needed by the statute. Therefore, the policy system has numerous logical policies that govern the rights of crime victims.</w:t>
      </w:r>
      <w:r w:rsidR="00DF2E8C">
        <w:rPr>
          <w:rFonts w:ascii="Times New Roman" w:hAnsi="Times New Roman" w:cs="Times New Roman"/>
          <w:sz w:val="24"/>
          <w:szCs w:val="24"/>
        </w:rPr>
        <w:t xml:space="preserve"> </w:t>
      </w:r>
      <w:r w:rsidRPr="00EC01FF">
        <w:rPr>
          <w:rFonts w:ascii="Times New Roman" w:hAnsi="Times New Roman" w:cs="Times New Roman"/>
          <w:sz w:val="24"/>
          <w:szCs w:val="24"/>
        </w:rPr>
        <w:t>The policy makes sense, and it is good to the sentencing policy since its objectives are based on the close scrutiny of the law i</w:t>
      </w:r>
      <w:r w:rsidRPr="00EC01FF">
        <w:rPr>
          <w:rFonts w:ascii="Times New Roman" w:hAnsi="Times New Roman" w:cs="Times New Roman"/>
          <w:sz w:val="24"/>
          <w:szCs w:val="24"/>
        </w:rPr>
        <w:t>n detail as well as behavior that exists between the goals of a reformist and the possibility of attaining those goals in the context of sentencing.</w:t>
      </w:r>
    </w:p>
    <w:p w14:paraId="5A7FAFEE" w14:textId="09225223" w:rsidR="007C1B2B" w:rsidRDefault="007474A9" w:rsidP="00DB5986">
      <w:pPr>
        <w:spacing w:line="480" w:lineRule="auto"/>
        <w:ind w:firstLine="720"/>
        <w:rPr>
          <w:rFonts w:ascii="Times New Roman" w:hAnsi="Times New Roman" w:cs="Times New Roman"/>
          <w:sz w:val="24"/>
          <w:szCs w:val="24"/>
        </w:rPr>
      </w:pPr>
      <w:r w:rsidRPr="00EC01FF">
        <w:rPr>
          <w:rFonts w:ascii="Times New Roman" w:hAnsi="Times New Roman" w:cs="Times New Roman"/>
          <w:sz w:val="24"/>
          <w:szCs w:val="24"/>
        </w:rPr>
        <w:lastRenderedPageBreak/>
        <w:t xml:space="preserve">In conclusion, regarding the sentencing guidelines, crime victims should be allowed </w:t>
      </w:r>
      <w:r w:rsidR="00DF2E8C">
        <w:rPr>
          <w:rFonts w:ascii="Times New Roman" w:hAnsi="Times New Roman" w:cs="Times New Roman"/>
          <w:sz w:val="24"/>
          <w:szCs w:val="24"/>
        </w:rPr>
        <w:t xml:space="preserve">to </w:t>
      </w:r>
      <w:r w:rsidRPr="00EC01FF">
        <w:rPr>
          <w:rFonts w:ascii="Times New Roman" w:hAnsi="Times New Roman" w:cs="Times New Roman"/>
          <w:sz w:val="24"/>
          <w:szCs w:val="24"/>
        </w:rPr>
        <w:t xml:space="preserve">actual dispensation </w:t>
      </w:r>
      <w:r w:rsidRPr="00EC01FF">
        <w:rPr>
          <w:rFonts w:ascii="Times New Roman" w:hAnsi="Times New Roman" w:cs="Times New Roman"/>
          <w:sz w:val="24"/>
          <w:szCs w:val="24"/>
        </w:rPr>
        <w:t xml:space="preserve">by </w:t>
      </w:r>
      <w:r w:rsidR="00DF2E8C">
        <w:rPr>
          <w:rFonts w:ascii="Times New Roman" w:hAnsi="Times New Roman" w:cs="Times New Roman"/>
          <w:sz w:val="24"/>
          <w:szCs w:val="24"/>
        </w:rPr>
        <w:t xml:space="preserve">making </w:t>
      </w:r>
      <w:r w:rsidRPr="00EC01FF">
        <w:rPr>
          <w:rFonts w:ascii="Times New Roman" w:hAnsi="Times New Roman" w:cs="Times New Roman"/>
          <w:sz w:val="24"/>
          <w:szCs w:val="24"/>
        </w:rPr>
        <w:t>dec</w:t>
      </w:r>
      <w:r w:rsidR="00DF2E8C">
        <w:rPr>
          <w:rFonts w:ascii="Times New Roman" w:hAnsi="Times New Roman" w:cs="Times New Roman"/>
          <w:sz w:val="24"/>
          <w:szCs w:val="24"/>
        </w:rPr>
        <w:t>isions that can</w:t>
      </w:r>
      <w:r w:rsidRPr="00EC01FF">
        <w:rPr>
          <w:rFonts w:ascii="Times New Roman" w:hAnsi="Times New Roman" w:cs="Times New Roman"/>
          <w:sz w:val="24"/>
          <w:szCs w:val="24"/>
        </w:rPr>
        <w:t xml:space="preserve"> empowe</w:t>
      </w:r>
      <w:r w:rsidR="00DF2E8C">
        <w:rPr>
          <w:rFonts w:ascii="Times New Roman" w:hAnsi="Times New Roman" w:cs="Times New Roman"/>
          <w:sz w:val="24"/>
          <w:szCs w:val="24"/>
        </w:rPr>
        <w:t>r</w:t>
      </w:r>
      <w:r w:rsidRPr="00EC01FF">
        <w:rPr>
          <w:rFonts w:ascii="Times New Roman" w:hAnsi="Times New Roman" w:cs="Times New Roman"/>
          <w:sz w:val="24"/>
          <w:szCs w:val="24"/>
        </w:rPr>
        <w:t xml:space="preserve"> them. There should be prosecutorial policy with a binding veto that suspects can exercise during pretrial bargains if given unsatisfactory disposition prosecutorial offer. Such a policy will be effective in providing cr</w:t>
      </w:r>
      <w:r w:rsidRPr="00EC01FF">
        <w:rPr>
          <w:rFonts w:ascii="Times New Roman" w:hAnsi="Times New Roman" w:cs="Times New Roman"/>
          <w:sz w:val="24"/>
          <w:szCs w:val="24"/>
        </w:rPr>
        <w:t>ime victims with potential voice concerning the result of their cases. This will be important because it will boost crime satisfaction in the services provided by the criminal justice system. As a consequence, such practices will increase the number of vic</w:t>
      </w:r>
      <w:r w:rsidRPr="00EC01FF">
        <w:rPr>
          <w:rFonts w:ascii="Times New Roman" w:hAnsi="Times New Roman" w:cs="Times New Roman"/>
          <w:sz w:val="24"/>
          <w:szCs w:val="24"/>
        </w:rPr>
        <w:t>tims reporting crimes in society and improve the general participation of the members of the public in criminal justice. Th</w:t>
      </w:r>
      <w:r w:rsidR="00DF2E8C">
        <w:rPr>
          <w:rFonts w:ascii="Times New Roman" w:hAnsi="Times New Roman" w:cs="Times New Roman"/>
          <w:sz w:val="24"/>
          <w:szCs w:val="24"/>
        </w:rPr>
        <w:t>e</w:t>
      </w:r>
      <w:r w:rsidRPr="00EC01FF">
        <w:rPr>
          <w:rFonts w:ascii="Times New Roman" w:hAnsi="Times New Roman" w:cs="Times New Roman"/>
          <w:sz w:val="24"/>
          <w:szCs w:val="24"/>
        </w:rPr>
        <w:t>s</w:t>
      </w:r>
      <w:r w:rsidR="00DF2E8C">
        <w:rPr>
          <w:rFonts w:ascii="Times New Roman" w:hAnsi="Times New Roman" w:cs="Times New Roman"/>
          <w:sz w:val="24"/>
          <w:szCs w:val="24"/>
        </w:rPr>
        <w:t>e</w:t>
      </w:r>
      <w:r w:rsidRPr="00EC01FF">
        <w:rPr>
          <w:rFonts w:ascii="Times New Roman" w:hAnsi="Times New Roman" w:cs="Times New Roman"/>
          <w:sz w:val="24"/>
          <w:szCs w:val="24"/>
        </w:rPr>
        <w:t xml:space="preserve"> </w:t>
      </w:r>
      <w:r w:rsidR="00DF2E8C">
        <w:rPr>
          <w:rFonts w:ascii="Times New Roman" w:hAnsi="Times New Roman" w:cs="Times New Roman"/>
          <w:sz w:val="24"/>
          <w:szCs w:val="24"/>
        </w:rPr>
        <w:t>are</w:t>
      </w:r>
      <w:r w:rsidRPr="00EC01FF">
        <w:rPr>
          <w:rFonts w:ascii="Times New Roman" w:hAnsi="Times New Roman" w:cs="Times New Roman"/>
          <w:sz w:val="24"/>
          <w:szCs w:val="24"/>
        </w:rPr>
        <w:t xml:space="preserve"> factors that will increase the logical</w:t>
      </w:r>
      <w:r w:rsidR="00DF2E8C">
        <w:rPr>
          <w:rFonts w:ascii="Times New Roman" w:hAnsi="Times New Roman" w:cs="Times New Roman"/>
          <w:sz w:val="24"/>
          <w:szCs w:val="24"/>
        </w:rPr>
        <w:t>ity</w:t>
      </w:r>
      <w:r w:rsidRPr="00EC01FF">
        <w:rPr>
          <w:rFonts w:ascii="Times New Roman" w:hAnsi="Times New Roman" w:cs="Times New Roman"/>
          <w:sz w:val="24"/>
          <w:szCs w:val="24"/>
        </w:rPr>
        <w:t xml:space="preserve"> </w:t>
      </w:r>
      <w:r w:rsidR="00DF2E8C">
        <w:rPr>
          <w:rFonts w:ascii="Times New Roman" w:hAnsi="Times New Roman" w:cs="Times New Roman"/>
          <w:sz w:val="24"/>
          <w:szCs w:val="24"/>
        </w:rPr>
        <w:t xml:space="preserve">in the </w:t>
      </w:r>
      <w:r w:rsidRPr="00EC01FF">
        <w:rPr>
          <w:rFonts w:ascii="Times New Roman" w:hAnsi="Times New Roman" w:cs="Times New Roman"/>
          <w:sz w:val="24"/>
          <w:szCs w:val="24"/>
        </w:rPr>
        <w:t>policy systems, sensible criminal justice systems and good prosecution and s</w:t>
      </w:r>
      <w:r w:rsidRPr="00EC01FF">
        <w:rPr>
          <w:rFonts w:ascii="Times New Roman" w:hAnsi="Times New Roman" w:cs="Times New Roman"/>
          <w:sz w:val="24"/>
          <w:szCs w:val="24"/>
        </w:rPr>
        <w:t xml:space="preserve">entencing practices. </w:t>
      </w:r>
    </w:p>
    <w:p w14:paraId="5FBF6F58" w14:textId="77777777" w:rsidR="00DB5986" w:rsidRDefault="007474A9">
      <w:pPr>
        <w:rPr>
          <w:rFonts w:ascii="Times New Roman" w:hAnsi="Times New Roman" w:cs="Times New Roman"/>
          <w:sz w:val="24"/>
          <w:szCs w:val="24"/>
        </w:rPr>
      </w:pPr>
      <w:r>
        <w:rPr>
          <w:rFonts w:ascii="Times New Roman" w:hAnsi="Times New Roman" w:cs="Times New Roman"/>
          <w:sz w:val="24"/>
          <w:szCs w:val="24"/>
        </w:rPr>
        <w:br w:type="page"/>
      </w:r>
    </w:p>
    <w:p w14:paraId="5372CD60" w14:textId="3DA78C55" w:rsidR="00DB5986" w:rsidRDefault="007474A9" w:rsidP="00DB59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1394A10" w14:textId="0DD07B9B" w:rsidR="00DB5986" w:rsidRDefault="007474A9" w:rsidP="00DB59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Guidelines Manual. (November 1, 2018). SENTENCING PROCEDURES, PLEA AGREEMENTS, </w:t>
      </w:r>
      <w:r w:rsidRPr="00DB5986">
        <w:rPr>
          <w:rFonts w:ascii="Times New Roman" w:hAnsi="Times New Roman" w:cs="Times New Roman"/>
          <w:sz w:val="24"/>
          <w:szCs w:val="24"/>
        </w:rPr>
        <w:t>AND CRIME VICTIMS’ RIGHTS</w:t>
      </w:r>
      <w:r>
        <w:rPr>
          <w:rFonts w:ascii="Times New Roman" w:hAnsi="Times New Roman" w:cs="Times New Roman"/>
          <w:sz w:val="24"/>
          <w:szCs w:val="24"/>
        </w:rPr>
        <w:t xml:space="preserve">. CHAPTER SIX; </w:t>
      </w:r>
      <w:r w:rsidRPr="00DB5986">
        <w:rPr>
          <w:rFonts w:ascii="Times New Roman" w:hAnsi="Times New Roman" w:cs="Times New Roman"/>
          <w:sz w:val="24"/>
          <w:szCs w:val="24"/>
        </w:rPr>
        <w:t>§6A1.1</w:t>
      </w:r>
      <w:r>
        <w:rPr>
          <w:rFonts w:ascii="Times New Roman" w:hAnsi="Times New Roman" w:cs="Times New Roman"/>
          <w:sz w:val="24"/>
          <w:szCs w:val="24"/>
        </w:rPr>
        <w:t>.</w:t>
      </w:r>
    </w:p>
    <w:p w14:paraId="5774D487" w14:textId="1CAE60FA" w:rsidR="00DB5986" w:rsidRPr="00EC01FF" w:rsidRDefault="007474A9" w:rsidP="00DB598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Guidelines Manual. (November 1, 2018). VIOLATIONS OF PROBATION </w:t>
      </w:r>
      <w:r w:rsidRPr="00DB5986">
        <w:rPr>
          <w:rFonts w:ascii="Times New Roman" w:hAnsi="Times New Roman" w:cs="Times New Roman"/>
          <w:sz w:val="24"/>
          <w:szCs w:val="24"/>
        </w:rPr>
        <w:t>AND SUPERVISED RELEASE</w:t>
      </w:r>
      <w:r>
        <w:rPr>
          <w:rFonts w:ascii="Times New Roman" w:hAnsi="Times New Roman" w:cs="Times New Roman"/>
          <w:sz w:val="24"/>
          <w:szCs w:val="24"/>
        </w:rPr>
        <w:t xml:space="preserve">. CHAPTER SEVEN; </w:t>
      </w:r>
      <w:r w:rsidRPr="00DB5986">
        <w:rPr>
          <w:rFonts w:ascii="Times New Roman" w:hAnsi="Times New Roman" w:cs="Times New Roman"/>
          <w:sz w:val="24"/>
          <w:szCs w:val="24"/>
        </w:rPr>
        <w:t>Ch. 7 Pt. A</w:t>
      </w:r>
      <w:r>
        <w:rPr>
          <w:rFonts w:ascii="Times New Roman" w:hAnsi="Times New Roman" w:cs="Times New Roman"/>
          <w:sz w:val="24"/>
          <w:szCs w:val="24"/>
        </w:rPr>
        <w:t>.</w:t>
      </w:r>
    </w:p>
    <w:sectPr w:rsidR="00DB5986" w:rsidRPr="00EC01FF" w:rsidSect="00EC01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C94BB" w14:textId="77777777" w:rsidR="007474A9" w:rsidRDefault="007474A9">
      <w:pPr>
        <w:spacing w:after="0" w:line="240" w:lineRule="auto"/>
      </w:pPr>
      <w:r>
        <w:separator/>
      </w:r>
    </w:p>
  </w:endnote>
  <w:endnote w:type="continuationSeparator" w:id="0">
    <w:p w14:paraId="09006093" w14:textId="77777777" w:rsidR="007474A9" w:rsidRDefault="00747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76E73" w14:textId="77777777" w:rsidR="007474A9" w:rsidRDefault="007474A9">
      <w:pPr>
        <w:spacing w:after="0" w:line="240" w:lineRule="auto"/>
      </w:pPr>
      <w:r>
        <w:separator/>
      </w:r>
    </w:p>
  </w:footnote>
  <w:footnote w:type="continuationSeparator" w:id="0">
    <w:p w14:paraId="03966012" w14:textId="77777777" w:rsidR="007474A9" w:rsidRDefault="00747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83FD2" w14:textId="6547B75F" w:rsidR="00EC01FF" w:rsidRPr="00EC01FF" w:rsidRDefault="007474A9">
    <w:pPr>
      <w:pStyle w:val="Header"/>
      <w:rPr>
        <w:rFonts w:ascii="Times New Roman" w:hAnsi="Times New Roman" w:cs="Times New Roman"/>
        <w:sz w:val="24"/>
        <w:szCs w:val="24"/>
      </w:rPr>
    </w:pPr>
    <w:r w:rsidRPr="00EC01FF">
      <w:rPr>
        <w:rFonts w:ascii="Times New Roman" w:hAnsi="Times New Roman" w:cs="Times New Roman"/>
        <w:sz w:val="24"/>
        <w:szCs w:val="24"/>
      </w:rPr>
      <w:t xml:space="preserve">SENTENCING GUIDELINES </w:t>
    </w:r>
    <w:r>
      <w:rPr>
        <w:rFonts w:ascii="Times New Roman" w:hAnsi="Times New Roman" w:cs="Times New Roman"/>
        <w:sz w:val="24"/>
        <w:szCs w:val="24"/>
      </w:rPr>
      <w:tab/>
    </w:r>
    <w:r>
      <w:rPr>
        <w:rFonts w:ascii="Times New Roman" w:hAnsi="Times New Roman" w:cs="Times New Roman"/>
        <w:sz w:val="24"/>
        <w:szCs w:val="24"/>
      </w:rPr>
      <w:tab/>
    </w:r>
    <w:r w:rsidRPr="00EC01FF">
      <w:rPr>
        <w:rFonts w:ascii="Times New Roman" w:hAnsi="Times New Roman" w:cs="Times New Roman"/>
        <w:sz w:val="24"/>
        <w:szCs w:val="24"/>
      </w:rPr>
      <w:fldChar w:fldCharType="begin"/>
    </w:r>
    <w:r w:rsidRPr="00EC01FF">
      <w:rPr>
        <w:rFonts w:ascii="Times New Roman" w:hAnsi="Times New Roman" w:cs="Times New Roman"/>
        <w:sz w:val="24"/>
        <w:szCs w:val="24"/>
      </w:rPr>
      <w:instrText xml:space="preserve"> PAGE   \* MERGEFORMAT </w:instrText>
    </w:r>
    <w:r w:rsidRPr="00EC01FF">
      <w:rPr>
        <w:rFonts w:ascii="Times New Roman" w:hAnsi="Times New Roman" w:cs="Times New Roman"/>
        <w:sz w:val="24"/>
        <w:szCs w:val="24"/>
      </w:rPr>
      <w:fldChar w:fldCharType="separate"/>
    </w:r>
    <w:r w:rsidR="006631AB">
      <w:rPr>
        <w:rFonts w:ascii="Times New Roman" w:hAnsi="Times New Roman" w:cs="Times New Roman"/>
        <w:noProof/>
        <w:sz w:val="24"/>
        <w:szCs w:val="24"/>
      </w:rPr>
      <w:t>2</w:t>
    </w:r>
    <w:r w:rsidRPr="00EC01F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1DFF8" w14:textId="1BC225BD" w:rsidR="00EC01FF" w:rsidRPr="00EC01FF" w:rsidRDefault="007474A9">
    <w:pPr>
      <w:pStyle w:val="Header"/>
      <w:rPr>
        <w:rFonts w:ascii="Times New Roman" w:hAnsi="Times New Roman" w:cs="Times New Roman"/>
        <w:sz w:val="24"/>
        <w:szCs w:val="24"/>
      </w:rPr>
    </w:pPr>
    <w:r w:rsidRPr="00EC01FF">
      <w:rPr>
        <w:rFonts w:ascii="Times New Roman" w:hAnsi="Times New Roman" w:cs="Times New Roman"/>
        <w:sz w:val="24"/>
        <w:szCs w:val="24"/>
      </w:rPr>
      <w:t xml:space="preserve">Running head: SENTENCING GUIDELINES </w:t>
    </w:r>
    <w:r>
      <w:rPr>
        <w:rFonts w:ascii="Times New Roman" w:hAnsi="Times New Roman" w:cs="Times New Roman"/>
        <w:sz w:val="24"/>
        <w:szCs w:val="24"/>
      </w:rPr>
      <w:tab/>
    </w:r>
    <w:r>
      <w:rPr>
        <w:rFonts w:ascii="Times New Roman" w:hAnsi="Times New Roman" w:cs="Times New Roman"/>
        <w:sz w:val="24"/>
        <w:szCs w:val="24"/>
      </w:rPr>
      <w:tab/>
    </w:r>
    <w:r w:rsidRPr="00EC01FF">
      <w:rPr>
        <w:rFonts w:ascii="Times New Roman" w:hAnsi="Times New Roman" w:cs="Times New Roman"/>
        <w:sz w:val="24"/>
        <w:szCs w:val="24"/>
      </w:rPr>
      <w:fldChar w:fldCharType="begin"/>
    </w:r>
    <w:r w:rsidRPr="00EC01FF">
      <w:rPr>
        <w:rFonts w:ascii="Times New Roman" w:hAnsi="Times New Roman" w:cs="Times New Roman"/>
        <w:sz w:val="24"/>
        <w:szCs w:val="24"/>
      </w:rPr>
      <w:instrText xml:space="preserve"> PAGE   \* MERGEFORMAT </w:instrText>
    </w:r>
    <w:r w:rsidRPr="00EC01FF">
      <w:rPr>
        <w:rFonts w:ascii="Times New Roman" w:hAnsi="Times New Roman" w:cs="Times New Roman"/>
        <w:sz w:val="24"/>
        <w:szCs w:val="24"/>
      </w:rPr>
      <w:fldChar w:fldCharType="separate"/>
    </w:r>
    <w:r w:rsidR="006631AB">
      <w:rPr>
        <w:rFonts w:ascii="Times New Roman" w:hAnsi="Times New Roman" w:cs="Times New Roman"/>
        <w:noProof/>
        <w:sz w:val="24"/>
        <w:szCs w:val="24"/>
      </w:rPr>
      <w:t>1</w:t>
    </w:r>
    <w:r w:rsidRPr="00EC01F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D0F"/>
    <w:rsid w:val="000F4AF7"/>
    <w:rsid w:val="001012A6"/>
    <w:rsid w:val="00150C2F"/>
    <w:rsid w:val="002478BB"/>
    <w:rsid w:val="00272D0F"/>
    <w:rsid w:val="00416229"/>
    <w:rsid w:val="006631AB"/>
    <w:rsid w:val="00737BBD"/>
    <w:rsid w:val="00742E15"/>
    <w:rsid w:val="007474A9"/>
    <w:rsid w:val="00796731"/>
    <w:rsid w:val="007C1B2B"/>
    <w:rsid w:val="0089432E"/>
    <w:rsid w:val="009B55C2"/>
    <w:rsid w:val="009E580A"/>
    <w:rsid w:val="009F47B3"/>
    <w:rsid w:val="00AC6ECF"/>
    <w:rsid w:val="00AF2715"/>
    <w:rsid w:val="00B123FF"/>
    <w:rsid w:val="00DB5986"/>
    <w:rsid w:val="00DF2E8C"/>
    <w:rsid w:val="00EC01FF"/>
    <w:rsid w:val="00EE29AC"/>
    <w:rsid w:val="00EF6B6F"/>
    <w:rsid w:val="00F06FCF"/>
    <w:rsid w:val="00F65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1FF"/>
  </w:style>
  <w:style w:type="paragraph" w:styleId="Footer">
    <w:name w:val="footer"/>
    <w:basedOn w:val="Normal"/>
    <w:link w:val="FooterChar"/>
    <w:uiPriority w:val="99"/>
    <w:unhideWhenUsed/>
    <w:rsid w:val="00EC0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1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1FF"/>
  </w:style>
  <w:style w:type="paragraph" w:styleId="Footer">
    <w:name w:val="footer"/>
    <w:basedOn w:val="Normal"/>
    <w:link w:val="FooterChar"/>
    <w:uiPriority w:val="99"/>
    <w:unhideWhenUsed/>
    <w:rsid w:val="00EC0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2019-11-14T14:43:00Z</dcterms:created>
  <dcterms:modified xsi:type="dcterms:W3CDTF">2019-11-14T18:29:00Z</dcterms:modified>
</cp:coreProperties>
</file>